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FF" w:rsidRPr="008D0585" w:rsidRDefault="009E59FF" w:rsidP="009E59FF">
      <w:pPr>
        <w:widowControl/>
        <w:spacing w:before="100" w:beforeAutospacing="1" w:after="100" w:afterAutospacing="1" w:line="0" w:lineRule="atLeast"/>
        <w:ind w:right="130"/>
        <w:jc w:val="center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bookmarkStart w:id="0" w:name="_GoBack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地籍清理獎金分配及核發辦法</w:t>
      </w:r>
      <w:bookmarkEnd w:id="0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>
        <w:rPr>
          <w:rFonts w:ascii="Arial" w:hAnsi="Arial" w:cs="Arial" w:hint="eastAsia"/>
          <w:color w:val="666666"/>
          <w:spacing w:val="15"/>
          <w:kern w:val="0"/>
          <w:sz w:val="23"/>
          <w:szCs w:val="23"/>
        </w:rPr>
        <w:t xml:space="preserve">                      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內政部</w:t>
      </w:r>
      <w:smartTag w:uri="urn:schemas-microsoft-com:office:smarttags" w:element="chsdate">
        <w:smartTagPr>
          <w:attr w:name="Year" w:val="1997"/>
          <w:attr w:name="Month" w:val="2"/>
          <w:attr w:name="Day" w:val="18"/>
          <w:attr w:name="IsLunarDate" w:val="False"/>
          <w:attr w:name="IsROCDate" w:val="False"/>
        </w:smartTagP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97</w:t>
        </w: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年</w:t>
        </w: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2</w:t>
        </w: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月</w:t>
        </w: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18</w:t>
        </w:r>
        <w:r w:rsidRPr="008D0585">
          <w:rPr>
            <w:rFonts w:ascii="Arial" w:hAnsi="Arial" w:cs="Arial"/>
            <w:color w:val="666666"/>
            <w:spacing w:val="15"/>
            <w:kern w:val="0"/>
            <w:sz w:val="23"/>
            <w:szCs w:val="23"/>
          </w:rPr>
          <w:t>日</w:t>
        </w:r>
      </w:smartTag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台內地字第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0970024180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號訂定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1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本辦法依地籍清理條例（以下簡稱本條例）第十四條第五項規定訂定之。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2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地籍清理獎金依本條例第十四條第二項規定，由直轄市或縣（市）主管機關代為標售或代為讓售土地價金千分之五支應。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3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地籍清理獎金之分配，以依本條例辦理地籍清理工作之直轄市或縣（市）主管機關主辦單位、登記機關及其他協助機關（單位）之在事人員為對象。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4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地籍清理獎金之分配比例及核算，由直轄市或縣（市）主管機關邀集地政、民政、戶政、稅捐、法院及其他協助地籍清理工作之機關（單位）代表召開審查會議，依地籍清理工作執行情形決定之。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前項會議應於依本條例規定代為標售或代為讓售土地後每六</w:t>
      </w:r>
      <w:proofErr w:type="gramStart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個</w:t>
      </w:r>
      <w:proofErr w:type="gramEnd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月召開一次，直轄市或縣（市）主管機關並應於會後三十日內</w:t>
      </w:r>
      <w:proofErr w:type="gramStart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繕造受</w:t>
      </w:r>
      <w:proofErr w:type="gramEnd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分配機關（單位）地籍清理獎金核發比例清冊辦理核發事宜。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第一項所稱法院，指依本條例第五條規定提供日據時期會社登記資料之法院。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5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受分配機關（單位）於核發地籍清理獎金予第三條人員時，應以執行地籍清理工作之輕重為基準，</w:t>
      </w:r>
      <w:proofErr w:type="gramStart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並審酌</w:t>
      </w:r>
      <w:proofErr w:type="gramEnd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下列情狀為獎金高低</w:t>
      </w:r>
      <w:proofErr w:type="gramStart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之參據</w:t>
      </w:r>
      <w:proofErr w:type="gramEnd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：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一、擔任地籍清理之職務。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二、辦理地籍清理之件數、筆數、面積。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三、辦理地籍清理案件之複雜程度。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四、執行地籍清理實施計畫之進度。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五、執行地籍清理之工作效率。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六、執行地籍清理之負責態度。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6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地籍清理獎金之分配及核發，直轄市或縣（市）主管機關應循預算程序辦理。</w:t>
      </w:r>
    </w:p>
    <w:p w:rsidR="009E59FF" w:rsidRPr="008D0585" w:rsidRDefault="009E59FF" w:rsidP="009E59FF">
      <w:pPr>
        <w:widowControl/>
        <w:spacing w:before="100" w:beforeAutospacing="1" w:after="100" w:afterAutospacing="1" w:line="0" w:lineRule="atLeast"/>
        <w:rPr>
          <w:rFonts w:ascii="Arial" w:hAnsi="Arial" w:cs="Arial"/>
          <w:color w:val="666666"/>
          <w:spacing w:val="15"/>
          <w:kern w:val="0"/>
          <w:sz w:val="23"/>
          <w:szCs w:val="23"/>
        </w:rPr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7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已登記建築改良物權利之清理，其獎金之分配及核發，</w:t>
      </w:r>
      <w:proofErr w:type="gramStart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準</w:t>
      </w:r>
      <w:proofErr w:type="gramEnd"/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用本辦法規定辦理。</w:t>
      </w:r>
    </w:p>
    <w:p w:rsidR="003A20B9" w:rsidRDefault="009E59FF" w:rsidP="009E59FF">
      <w:pPr>
        <w:spacing w:line="0" w:lineRule="atLeast"/>
      </w:pPr>
      <w:r w:rsidRPr="008D0585">
        <w:rPr>
          <w:rFonts w:ascii="細明體" w:eastAsia="細明體" w:hAnsi="細明體" w:cs="細明體" w:hint="eastAsia"/>
          <w:color w:val="666666"/>
          <w:spacing w:val="15"/>
          <w:kern w:val="0"/>
          <w:sz w:val="23"/>
          <w:szCs w:val="23"/>
        </w:rPr>
        <w:t>◆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 xml:space="preserve"> 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第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8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條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t>本辦法自本條例施行之日施行。</w:t>
      </w:r>
      <w:r w:rsidRPr="008D0585">
        <w:rPr>
          <w:rFonts w:ascii="Arial" w:hAnsi="Arial" w:cs="Arial"/>
          <w:color w:val="666666"/>
          <w:spacing w:val="15"/>
          <w:kern w:val="0"/>
          <w:sz w:val="23"/>
          <w:szCs w:val="23"/>
        </w:rPr>
        <w:br/>
      </w:r>
    </w:p>
    <w:sectPr w:rsidR="003A20B9" w:rsidSect="009E5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F"/>
    <w:rsid w:val="003A20B9"/>
    <w:rsid w:val="009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2013-04-19T09:40:00Z</dcterms:created>
  <dcterms:modified xsi:type="dcterms:W3CDTF">2013-04-19T09:41:00Z</dcterms:modified>
</cp:coreProperties>
</file>